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BC9"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color w:val="2D3B45"/>
          <w:sz w:val="24"/>
          <w:szCs w:val="24"/>
        </w:rPr>
      </w:pPr>
    </w:p>
    <w:p w:rsidR="00664BC9"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color w:val="2D3B45"/>
          <w:sz w:val="24"/>
          <w:szCs w:val="24"/>
        </w:rPr>
      </w:pPr>
    </w:p>
    <w:p w:rsidR="00664BC9"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color w:val="2D3B45"/>
          <w:sz w:val="24"/>
          <w:szCs w:val="24"/>
        </w:rPr>
      </w:pPr>
    </w:p>
    <w:p w:rsidR="00664BC9"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color w:val="2D3B45"/>
          <w:sz w:val="24"/>
          <w:szCs w:val="24"/>
        </w:rPr>
      </w:pPr>
    </w:p>
    <w:p w:rsidR="00664BC9"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color w:val="2D3B45"/>
          <w:sz w:val="24"/>
          <w:szCs w:val="24"/>
        </w:rPr>
      </w:pPr>
    </w:p>
    <w:p w:rsidR="00664BC9"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color w:val="2D3B45"/>
          <w:sz w:val="24"/>
          <w:szCs w:val="24"/>
        </w:rPr>
      </w:pPr>
    </w:p>
    <w:p w:rsidR="00664BC9"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color w:val="2D3B45"/>
          <w:sz w:val="24"/>
          <w:szCs w:val="24"/>
        </w:rPr>
      </w:pPr>
    </w:p>
    <w:p w:rsidR="00664BC9" w:rsidRPr="00066064"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Healthy workplace reflection</w:t>
      </w:r>
    </w:p>
    <w:p w:rsidR="00664BC9" w:rsidRPr="00066064"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 xml:space="preserve">Student’s Name </w:t>
      </w:r>
    </w:p>
    <w:p w:rsidR="00664BC9" w:rsidRPr="00066064"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Institution</w:t>
      </w:r>
    </w:p>
    <w:p w:rsidR="00664BC9" w:rsidRPr="00066064" w:rsidRDefault="00066064"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27, 2020</w:t>
      </w:r>
    </w:p>
    <w:p w:rsidR="00664BC9" w:rsidRPr="00066064"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664BC9" w:rsidRPr="00066064"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664BC9" w:rsidRPr="00066064" w:rsidRDefault="00664BC9" w:rsidP="00664BC9">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664BC9" w:rsidRPr="00066064"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p>
    <w:p w:rsidR="00664BC9" w:rsidRPr="00066064"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p>
    <w:p w:rsidR="00664BC9" w:rsidRPr="00066064"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p>
    <w:p w:rsidR="00664BC9" w:rsidRPr="00066064" w:rsidRDefault="00664BC9" w:rsidP="00195F7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p>
    <w:p w:rsidR="00160203" w:rsidRPr="00066064" w:rsidRDefault="00160203" w:rsidP="00195F71">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rPr>
      </w:pPr>
      <w:r w:rsidRPr="00066064">
        <w:rPr>
          <w:rFonts w:ascii="Times New Roman" w:eastAsia="Times New Roman" w:hAnsi="Times New Roman" w:cs="Times New Roman"/>
          <w:b/>
          <w:sz w:val="24"/>
          <w:szCs w:val="24"/>
        </w:rPr>
        <w:lastRenderedPageBreak/>
        <w:t>Healthy workplace reflection</w:t>
      </w:r>
    </w:p>
    <w:p w:rsidR="00873565" w:rsidRPr="00066064" w:rsidRDefault="00AD341A" w:rsidP="000A199D">
      <w:pPr>
        <w:shd w:val="clear" w:color="auto" w:fill="FFFFFF"/>
        <w:spacing w:before="100" w:beforeAutospacing="1" w:after="100" w:afterAutospacing="1" w:line="240" w:lineRule="auto"/>
        <w:rPr>
          <w:rFonts w:ascii="Times New Roman" w:eastAsia="Times New Roman" w:hAnsi="Times New Roman" w:cs="Times New Roman"/>
          <w:b/>
          <w:sz w:val="24"/>
          <w:szCs w:val="24"/>
        </w:rPr>
      </w:pPr>
      <w:r w:rsidRPr="00066064">
        <w:rPr>
          <w:rFonts w:ascii="Times New Roman" w:eastAsia="Times New Roman" w:hAnsi="Times New Roman" w:cs="Times New Roman"/>
          <w:b/>
          <w:sz w:val="24"/>
          <w:szCs w:val="24"/>
        </w:rPr>
        <w:t>F</w:t>
      </w:r>
      <w:r w:rsidR="00160203" w:rsidRPr="00066064">
        <w:rPr>
          <w:rFonts w:ascii="Times New Roman" w:eastAsia="Times New Roman" w:hAnsi="Times New Roman" w:cs="Times New Roman"/>
          <w:b/>
          <w:sz w:val="24"/>
          <w:szCs w:val="24"/>
        </w:rPr>
        <w:t xml:space="preserve">actors </w:t>
      </w:r>
      <w:r w:rsidRPr="00066064">
        <w:rPr>
          <w:rFonts w:ascii="Times New Roman" w:eastAsia="Times New Roman" w:hAnsi="Times New Roman" w:cs="Times New Roman"/>
          <w:b/>
          <w:sz w:val="24"/>
          <w:szCs w:val="24"/>
        </w:rPr>
        <w:t xml:space="preserve">that </w:t>
      </w:r>
      <w:r w:rsidR="00160203" w:rsidRPr="00066064">
        <w:rPr>
          <w:rFonts w:ascii="Times New Roman" w:eastAsia="Times New Roman" w:hAnsi="Times New Roman" w:cs="Times New Roman"/>
          <w:b/>
          <w:sz w:val="24"/>
          <w:szCs w:val="24"/>
        </w:rPr>
        <w:t>impact the culture of an organiz</w:t>
      </w:r>
      <w:r w:rsidRPr="00066064">
        <w:rPr>
          <w:rFonts w:ascii="Times New Roman" w:eastAsia="Times New Roman" w:hAnsi="Times New Roman" w:cs="Times New Roman"/>
          <w:b/>
          <w:sz w:val="24"/>
          <w:szCs w:val="24"/>
        </w:rPr>
        <w:t>ation in a positive and</w:t>
      </w:r>
      <w:r w:rsidR="00160203" w:rsidRPr="00066064">
        <w:rPr>
          <w:rFonts w:ascii="Times New Roman" w:eastAsia="Times New Roman" w:hAnsi="Times New Roman" w:cs="Times New Roman"/>
          <w:b/>
          <w:sz w:val="24"/>
          <w:szCs w:val="24"/>
        </w:rPr>
        <w:t xml:space="preserve"> negativ</w:t>
      </w:r>
      <w:r w:rsidR="003D5E04" w:rsidRPr="00066064">
        <w:rPr>
          <w:rFonts w:ascii="Times New Roman" w:eastAsia="Times New Roman" w:hAnsi="Times New Roman" w:cs="Times New Roman"/>
          <w:b/>
          <w:sz w:val="24"/>
          <w:szCs w:val="24"/>
        </w:rPr>
        <w:t>e manner</w:t>
      </w:r>
    </w:p>
    <w:p w:rsidR="000A199D" w:rsidRDefault="00066064" w:rsidP="000A199D">
      <w:pPr>
        <w:shd w:val="clear" w:color="auto" w:fill="FFFFFF"/>
        <w:spacing w:before="100" w:beforeAutospacing="1" w:after="100" w:afterAutospacing="1" w:line="480" w:lineRule="auto"/>
        <w:ind w:left="15" w:firstLine="360"/>
        <w:rPr>
          <w:rFonts w:ascii="Times New Roman" w:hAnsi="Times New Roman" w:cs="Times New Roman"/>
          <w:sz w:val="24"/>
          <w:szCs w:val="24"/>
        </w:rPr>
      </w:pPr>
      <w:r w:rsidRPr="00066064">
        <w:rPr>
          <w:rFonts w:ascii="Times New Roman" w:eastAsia="Times New Roman" w:hAnsi="Times New Roman" w:cs="Times New Roman"/>
          <w:sz w:val="24"/>
          <w:szCs w:val="24"/>
        </w:rPr>
        <w:tab/>
      </w:r>
      <w:r w:rsidRPr="00066064">
        <w:rPr>
          <w:rFonts w:ascii="Times New Roman" w:hAnsi="Times New Roman" w:cs="Times New Roman"/>
          <w:sz w:val="24"/>
          <w:szCs w:val="24"/>
        </w:rPr>
        <w:t>Organizational culture is affected by different factors. These vast factors include; approaches to health, perceptions, and beliefs about illnesses and death, pain expression, and the treatment patients get. All these cultural ideas trickle down to the leadership of an organization and its influence. Leadership is the number one factor that affects guidelines, policies, and procedures in healthcare. Efficient leaders hold values and philosophies encouraged employees for significant results and smooth running of an organization. Positively, the top leadership impacts healthcare in the way patients and families get treated with dignity and respect (</w:t>
      </w:r>
      <w:proofErr w:type="spellStart"/>
      <w:r w:rsidRPr="00066064">
        <w:rPr>
          <w:rFonts w:ascii="Times New Roman" w:hAnsi="Times New Roman" w:cs="Times New Roman"/>
          <w:sz w:val="24"/>
          <w:szCs w:val="24"/>
        </w:rPr>
        <w:t>Guzys</w:t>
      </w:r>
      <w:proofErr w:type="spellEnd"/>
      <w:r w:rsidRPr="00066064">
        <w:rPr>
          <w:rFonts w:ascii="Times New Roman" w:hAnsi="Times New Roman" w:cs="Times New Roman"/>
          <w:sz w:val="24"/>
          <w:szCs w:val="24"/>
        </w:rPr>
        <w:t xml:space="preserve"> et al., 2017). Additionally, it improves the quality of services and its aspects for any facility. Aspects of negative leadership and culture include a lack of analyzing risks to patients, general assumptions, secrets, and offering low standards. All these elements place patients and their families last with the least consideration for quality health.</w:t>
      </w:r>
    </w:p>
    <w:p w:rsidR="00066064" w:rsidRPr="000A199D" w:rsidRDefault="00066064" w:rsidP="000A199D">
      <w:pPr>
        <w:shd w:val="clear" w:color="auto" w:fill="FFFFFF"/>
        <w:spacing w:before="100" w:beforeAutospacing="1" w:after="100" w:afterAutospacing="1" w:line="480" w:lineRule="auto"/>
        <w:rPr>
          <w:rFonts w:ascii="Times New Roman" w:hAnsi="Times New Roman" w:cs="Times New Roman"/>
          <w:sz w:val="24"/>
          <w:szCs w:val="24"/>
        </w:rPr>
      </w:pPr>
      <w:r w:rsidRPr="00066064">
        <w:rPr>
          <w:rFonts w:ascii="Times New Roman" w:eastAsia="Times New Roman" w:hAnsi="Times New Roman" w:cs="Times New Roman"/>
          <w:b/>
          <w:bCs/>
          <w:sz w:val="24"/>
          <w:szCs w:val="24"/>
        </w:rPr>
        <w:t>How self-care impacts the health of a workplace</w:t>
      </w:r>
    </w:p>
    <w:p w:rsidR="00066064" w:rsidRPr="00066064" w:rsidRDefault="00066064" w:rsidP="00F66DC3">
      <w:pPr>
        <w:shd w:val="clear" w:color="auto" w:fill="FFFFFF"/>
        <w:spacing w:before="100" w:beforeAutospacing="1" w:after="100" w:afterAutospacing="1" w:line="480" w:lineRule="auto"/>
        <w:ind w:left="15" w:firstLine="705"/>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 xml:space="preserve">The most significant loss to a health facility is a lack of personal care, whereby health workers end up unproductive because of their mental health. By estimation, the cost of </w:t>
      </w:r>
      <w:r w:rsidR="000A199D">
        <w:rPr>
          <w:rFonts w:ascii="Times New Roman" w:eastAsia="Times New Roman" w:hAnsi="Times New Roman" w:cs="Times New Roman"/>
          <w:sz w:val="24"/>
          <w:szCs w:val="24"/>
        </w:rPr>
        <w:t>care delivery</w:t>
      </w:r>
      <w:r w:rsidRPr="00066064">
        <w:rPr>
          <w:rFonts w:ascii="Times New Roman" w:eastAsia="Times New Roman" w:hAnsi="Times New Roman" w:cs="Times New Roman"/>
          <w:sz w:val="24"/>
          <w:szCs w:val="24"/>
        </w:rPr>
        <w:t xml:space="preserve"> exceeds that of medical care, prescribed medicine, and absenteeism. According to Afterward (2017)</w:t>
      </w:r>
      <w:r w:rsidR="000A199D" w:rsidRPr="00066064">
        <w:rPr>
          <w:rFonts w:ascii="Times New Roman" w:eastAsia="Times New Roman" w:hAnsi="Times New Roman" w:cs="Times New Roman"/>
          <w:sz w:val="24"/>
          <w:szCs w:val="24"/>
        </w:rPr>
        <w:t xml:space="preserve">, </w:t>
      </w:r>
      <w:r w:rsidR="000A199D">
        <w:rPr>
          <w:rFonts w:ascii="Times New Roman" w:eastAsia="Times New Roman" w:hAnsi="Times New Roman" w:cs="Times New Roman"/>
          <w:sz w:val="24"/>
          <w:szCs w:val="24"/>
        </w:rPr>
        <w:t xml:space="preserve">the </w:t>
      </w:r>
      <w:r w:rsidRPr="00066064">
        <w:rPr>
          <w:rFonts w:ascii="Times New Roman" w:eastAsia="Times New Roman" w:hAnsi="Times New Roman" w:cs="Times New Roman"/>
          <w:sz w:val="24"/>
          <w:szCs w:val="24"/>
        </w:rPr>
        <w:t>lack of self-care accounts for 10% labor cost because unhealthy workers are unfruitful. They are also expensive to maintain while in their workplaces. They contribute to poor health, which is triple the number of employers’ benefits. It is essential to incorporate value in all health facilities.</w:t>
      </w:r>
    </w:p>
    <w:p w:rsidR="00066064" w:rsidRPr="00066064" w:rsidRDefault="00066064" w:rsidP="00F66DC3">
      <w:pPr>
        <w:shd w:val="clear" w:color="auto" w:fill="FFFFFF"/>
        <w:spacing w:before="100" w:beforeAutospacing="1" w:after="100" w:afterAutospacing="1" w:line="480" w:lineRule="auto"/>
        <w:rPr>
          <w:rFonts w:ascii="Times New Roman" w:eastAsia="Times New Roman" w:hAnsi="Times New Roman" w:cs="Times New Roman"/>
          <w:sz w:val="24"/>
          <w:szCs w:val="24"/>
        </w:rPr>
      </w:pPr>
      <w:bookmarkStart w:id="0" w:name="_GoBack"/>
      <w:bookmarkEnd w:id="0"/>
      <w:r w:rsidRPr="00066064">
        <w:rPr>
          <w:rFonts w:ascii="Times New Roman" w:eastAsia="Times New Roman" w:hAnsi="Times New Roman" w:cs="Times New Roman"/>
          <w:b/>
          <w:bCs/>
          <w:sz w:val="24"/>
          <w:szCs w:val="24"/>
        </w:rPr>
        <w:t>How workplace health impact the culture of an organization</w:t>
      </w:r>
    </w:p>
    <w:p w:rsidR="00066064" w:rsidRPr="00066064" w:rsidRDefault="00066064" w:rsidP="00F66DC3">
      <w:pPr>
        <w:shd w:val="clear" w:color="auto" w:fill="FFFFFF"/>
        <w:spacing w:before="100" w:beforeAutospacing="1" w:after="100" w:afterAutospacing="1" w:line="480" w:lineRule="auto"/>
        <w:ind w:left="15" w:firstLine="705"/>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lastRenderedPageBreak/>
        <w:t>At the employee level, organizational culture yields positive outcomes when employers are healthy, and the perceived health is supported. The relationship between coworkers and leaders tend to be associated with support for good health. It shows how employers need to address relationships and workplace elements to establish good health (</w:t>
      </w:r>
      <w:proofErr w:type="spellStart"/>
      <w:r w:rsidRPr="00066064">
        <w:rPr>
          <w:rFonts w:ascii="Times New Roman" w:eastAsia="Times New Roman" w:hAnsi="Times New Roman" w:cs="Times New Roman"/>
          <w:sz w:val="24"/>
          <w:szCs w:val="24"/>
        </w:rPr>
        <w:t>Guzys</w:t>
      </w:r>
      <w:proofErr w:type="spellEnd"/>
      <w:r w:rsidRPr="00066064">
        <w:rPr>
          <w:rFonts w:ascii="Times New Roman" w:eastAsia="Times New Roman" w:hAnsi="Times New Roman" w:cs="Times New Roman"/>
          <w:sz w:val="24"/>
          <w:szCs w:val="24"/>
        </w:rPr>
        <w:t xml:space="preserve"> et al., 2017). Research indicates significant positive associations between workplace health promotions and their execution. These promotion programs encourage healthier lifestyles, limit chronic diseases, and spending on employees, and reduce absenteeism.</w:t>
      </w:r>
    </w:p>
    <w:p w:rsidR="00066064" w:rsidRPr="00066064" w:rsidRDefault="00066064" w:rsidP="000A199D">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066064">
        <w:rPr>
          <w:rFonts w:ascii="Times New Roman" w:eastAsia="Times New Roman" w:hAnsi="Times New Roman" w:cs="Times New Roman"/>
          <w:b/>
          <w:bCs/>
          <w:sz w:val="24"/>
          <w:szCs w:val="24"/>
        </w:rPr>
        <w:t>Findings from the article that supports a healthy workplace</w:t>
      </w:r>
    </w:p>
    <w:p w:rsidR="00066064" w:rsidRPr="00066064" w:rsidRDefault="00066064" w:rsidP="00F66DC3">
      <w:pPr>
        <w:shd w:val="clear" w:color="auto" w:fill="FFFFFF"/>
        <w:spacing w:before="100" w:beforeAutospacing="1" w:after="100" w:afterAutospacing="1" w:line="480" w:lineRule="auto"/>
        <w:ind w:left="15" w:firstLine="705"/>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The articles’ empirical study of data suggests that employee health is the number one factor that promotes a healthy workplace. The design of jobs, overtime scheduling, and social support provision are also significant (Afterword, 2017). Additionally, offering health insurance and fairness, coupled with proper handling of economic insecurities, creates an empowering and enjoyable environment. It contributes to the mental, physical, and social wellbeing of an employee. As a result, employees are happy and productive.</w:t>
      </w:r>
    </w:p>
    <w:p w:rsidR="00066064" w:rsidRPr="00066064" w:rsidRDefault="00066064" w:rsidP="000A199D">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066064">
        <w:rPr>
          <w:rFonts w:ascii="Times New Roman" w:eastAsia="Times New Roman" w:hAnsi="Times New Roman" w:cs="Times New Roman"/>
          <w:b/>
          <w:bCs/>
          <w:sz w:val="24"/>
          <w:szCs w:val="24"/>
        </w:rPr>
        <w:t>What are some methods to improve workplace health</w:t>
      </w:r>
      <w:r w:rsidRPr="00066064">
        <w:rPr>
          <w:rFonts w:ascii="Times New Roman" w:eastAsia="Times New Roman" w:hAnsi="Times New Roman" w:cs="Times New Roman"/>
          <w:sz w:val="24"/>
          <w:szCs w:val="24"/>
        </w:rPr>
        <w:t>?</w:t>
      </w:r>
    </w:p>
    <w:p w:rsidR="00066064" w:rsidRPr="00066064" w:rsidRDefault="00066064" w:rsidP="00F66DC3">
      <w:pPr>
        <w:shd w:val="clear" w:color="auto" w:fill="FFFFFF"/>
        <w:spacing w:before="100" w:beforeAutospacing="1" w:after="100" w:afterAutospacing="1" w:line="480" w:lineRule="auto"/>
        <w:ind w:left="15" w:firstLine="705"/>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Employee health can affect workplace culture in multiple ways. Ideally, by focusing on preventive measures, it helps foster wellness and teamwork. Employers will achieve overall health when prevention and wellness programs are available in their workplace. Therefore, they are encouraged to eat healthier foods to alienate future diseases and increase productivity (Adamson, 2019). Consequently, exercises and creating smoke-free zones show how much the management cares for the team. Having strategies to curb mental health stands as a stress-</w:t>
      </w:r>
      <w:r w:rsidRPr="00066064">
        <w:rPr>
          <w:rFonts w:ascii="Times New Roman" w:eastAsia="Times New Roman" w:hAnsi="Times New Roman" w:cs="Times New Roman"/>
          <w:sz w:val="24"/>
          <w:szCs w:val="24"/>
        </w:rPr>
        <w:lastRenderedPageBreak/>
        <w:t>reduction technique for employees. It is substantial to monitor programs put in place and ask for feedback directly or using surveys.</w:t>
      </w:r>
    </w:p>
    <w:p w:rsidR="005675DC" w:rsidRDefault="005675DC" w:rsidP="00066064">
      <w:pPr>
        <w:shd w:val="clear" w:color="auto" w:fill="FFFFFF"/>
        <w:spacing w:before="100" w:beforeAutospacing="1" w:after="100" w:afterAutospacing="1" w:line="480" w:lineRule="auto"/>
        <w:ind w:left="15" w:firstLine="360"/>
        <w:rPr>
          <w:rFonts w:ascii="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Default="00664BC9" w:rsidP="000A199D">
      <w:pPr>
        <w:spacing w:after="0" w:line="240" w:lineRule="auto"/>
        <w:rPr>
          <w:rFonts w:ascii="Times New Roman" w:eastAsia="Times New Roman" w:hAnsi="Times New Roman" w:cs="Times New Roman"/>
          <w:sz w:val="24"/>
          <w:szCs w:val="24"/>
        </w:rPr>
      </w:pPr>
    </w:p>
    <w:p w:rsidR="00664BC9" w:rsidRDefault="00664BC9" w:rsidP="00664BC9">
      <w:pPr>
        <w:spacing w:after="0" w:line="240" w:lineRule="auto"/>
        <w:jc w:val="center"/>
        <w:rPr>
          <w:rFonts w:ascii="Times New Roman" w:eastAsia="Times New Roman" w:hAnsi="Times New Roman" w:cs="Times New Roman"/>
          <w:sz w:val="24"/>
          <w:szCs w:val="24"/>
        </w:rPr>
      </w:pPr>
    </w:p>
    <w:p w:rsidR="00664BC9" w:rsidRPr="000A199D" w:rsidRDefault="00664BC9" w:rsidP="00664BC9">
      <w:pPr>
        <w:spacing w:after="0" w:line="240" w:lineRule="auto"/>
        <w:jc w:val="center"/>
        <w:rPr>
          <w:rFonts w:ascii="Times New Roman" w:eastAsia="Times New Roman" w:hAnsi="Times New Roman" w:cs="Times New Roman"/>
          <w:b/>
          <w:sz w:val="24"/>
          <w:szCs w:val="24"/>
        </w:rPr>
      </w:pPr>
      <w:r w:rsidRPr="000A199D">
        <w:rPr>
          <w:rFonts w:ascii="Times New Roman" w:eastAsia="Times New Roman" w:hAnsi="Times New Roman" w:cs="Times New Roman"/>
          <w:b/>
          <w:sz w:val="24"/>
          <w:szCs w:val="24"/>
        </w:rPr>
        <w:t>References</w:t>
      </w:r>
    </w:p>
    <w:p w:rsidR="00066064" w:rsidRPr="00066064" w:rsidRDefault="00066064" w:rsidP="00066064">
      <w:pPr>
        <w:spacing w:after="0" w:line="550" w:lineRule="atLeast"/>
        <w:ind w:left="720" w:right="375" w:hanging="720"/>
        <w:rPr>
          <w:rFonts w:ascii="Times New Roman" w:eastAsia="Times New Roman" w:hAnsi="Times New Roman" w:cs="Times New Roman"/>
          <w:sz w:val="24"/>
          <w:szCs w:val="24"/>
        </w:rPr>
      </w:pPr>
      <w:r w:rsidRPr="00066064">
        <w:rPr>
          <w:rFonts w:ascii="Times New Roman" w:eastAsia="Times New Roman" w:hAnsi="Times New Roman" w:cs="Times New Roman"/>
          <w:sz w:val="24"/>
          <w:szCs w:val="24"/>
        </w:rPr>
        <w:t xml:space="preserve">Adamson, G. (2019). </w:t>
      </w:r>
      <w:proofErr w:type="gramStart"/>
      <w:r w:rsidRPr="00066064">
        <w:rPr>
          <w:rFonts w:ascii="Times New Roman" w:eastAsia="Times New Roman" w:hAnsi="Times New Roman" w:cs="Times New Roman"/>
          <w:sz w:val="24"/>
          <w:szCs w:val="24"/>
        </w:rPr>
        <w:t>Reflection.</w:t>
      </w:r>
      <w:proofErr w:type="gramEnd"/>
      <w:r w:rsidRPr="00066064">
        <w:rPr>
          <w:rFonts w:ascii="Times New Roman" w:eastAsia="Times New Roman" w:hAnsi="Times New Roman" w:cs="Times New Roman"/>
          <w:sz w:val="24"/>
          <w:szCs w:val="24"/>
        </w:rPr>
        <w:t> </w:t>
      </w:r>
      <w:r w:rsidRPr="00066064">
        <w:rPr>
          <w:rFonts w:ascii="Times New Roman" w:eastAsia="Times New Roman" w:hAnsi="Times New Roman" w:cs="Times New Roman"/>
          <w:i/>
          <w:iCs/>
          <w:sz w:val="24"/>
          <w:szCs w:val="24"/>
        </w:rPr>
        <w:t>Health</w:t>
      </w:r>
      <w:r w:rsidRPr="00066064">
        <w:rPr>
          <w:rFonts w:ascii="Times New Roman" w:eastAsia="Times New Roman" w:hAnsi="Times New Roman" w:cs="Times New Roman"/>
          <w:sz w:val="24"/>
          <w:szCs w:val="24"/>
        </w:rPr>
        <w:t>, </w:t>
      </w:r>
      <w:r w:rsidRPr="00066064">
        <w:rPr>
          <w:rFonts w:ascii="Times New Roman" w:eastAsia="Times New Roman" w:hAnsi="Times New Roman" w:cs="Times New Roman"/>
          <w:i/>
          <w:iCs/>
          <w:sz w:val="24"/>
          <w:szCs w:val="24"/>
        </w:rPr>
        <w:t>6</w:t>
      </w:r>
      <w:r w:rsidRPr="00066064">
        <w:rPr>
          <w:rFonts w:ascii="Times New Roman" w:eastAsia="Times New Roman" w:hAnsi="Times New Roman" w:cs="Times New Roman"/>
          <w:sz w:val="24"/>
          <w:szCs w:val="24"/>
        </w:rPr>
        <w:t>(1), 282–288. https://doi.org/10.1093/oso/9780199916429.003.0014</w:t>
      </w:r>
    </w:p>
    <w:p w:rsidR="00664BC9" w:rsidRPr="00664BC9" w:rsidRDefault="00066064" w:rsidP="00066064">
      <w:pPr>
        <w:spacing w:after="0" w:line="550" w:lineRule="atLeast"/>
        <w:ind w:left="720" w:right="375" w:hanging="720"/>
        <w:rPr>
          <w:rFonts w:ascii="Times New Roman" w:eastAsia="Times New Roman" w:hAnsi="Times New Roman" w:cs="Times New Roman"/>
          <w:sz w:val="24"/>
          <w:szCs w:val="24"/>
        </w:rPr>
      </w:pPr>
      <w:proofErr w:type="gramStart"/>
      <w:r w:rsidRPr="00066064">
        <w:rPr>
          <w:rFonts w:ascii="Times New Roman" w:eastAsia="Times New Roman" w:hAnsi="Times New Roman" w:cs="Times New Roman"/>
          <w:sz w:val="24"/>
          <w:szCs w:val="24"/>
        </w:rPr>
        <w:t>Afterword.</w:t>
      </w:r>
      <w:proofErr w:type="gramEnd"/>
      <w:r w:rsidRPr="00066064">
        <w:rPr>
          <w:rFonts w:ascii="Times New Roman" w:eastAsia="Times New Roman" w:hAnsi="Times New Roman" w:cs="Times New Roman"/>
          <w:sz w:val="24"/>
          <w:szCs w:val="24"/>
        </w:rPr>
        <w:t xml:space="preserve"> </w:t>
      </w:r>
      <w:proofErr w:type="gramStart"/>
      <w:r w:rsidRPr="00066064">
        <w:rPr>
          <w:rFonts w:ascii="Times New Roman" w:eastAsia="Times New Roman" w:hAnsi="Times New Roman" w:cs="Times New Roman"/>
          <w:sz w:val="24"/>
          <w:szCs w:val="24"/>
        </w:rPr>
        <w:t>(2017). Afterword.</w:t>
      </w:r>
      <w:proofErr w:type="gramEnd"/>
      <w:r w:rsidRPr="00066064">
        <w:rPr>
          <w:rFonts w:ascii="Times New Roman" w:eastAsia="Times New Roman" w:hAnsi="Times New Roman" w:cs="Times New Roman"/>
          <w:sz w:val="24"/>
          <w:szCs w:val="24"/>
        </w:rPr>
        <w:t> </w:t>
      </w:r>
      <w:r w:rsidRPr="00066064">
        <w:rPr>
          <w:rFonts w:ascii="Times New Roman" w:eastAsia="Times New Roman" w:hAnsi="Times New Roman" w:cs="Times New Roman"/>
          <w:i/>
          <w:iCs/>
          <w:sz w:val="24"/>
          <w:szCs w:val="24"/>
        </w:rPr>
        <w:t>Healthcare Professionalism</w:t>
      </w:r>
      <w:r w:rsidRPr="00066064">
        <w:rPr>
          <w:rFonts w:ascii="Times New Roman" w:eastAsia="Times New Roman" w:hAnsi="Times New Roman" w:cs="Times New Roman"/>
          <w:sz w:val="24"/>
          <w:szCs w:val="24"/>
        </w:rPr>
        <w:t>, </w:t>
      </w:r>
      <w:r w:rsidRPr="00066064">
        <w:rPr>
          <w:rFonts w:ascii="Times New Roman" w:eastAsia="Times New Roman" w:hAnsi="Times New Roman" w:cs="Times New Roman"/>
          <w:i/>
          <w:iCs/>
          <w:sz w:val="24"/>
          <w:szCs w:val="24"/>
        </w:rPr>
        <w:t>5</w:t>
      </w:r>
      <w:r w:rsidRPr="00066064">
        <w:rPr>
          <w:rFonts w:ascii="Times New Roman" w:eastAsia="Times New Roman" w:hAnsi="Times New Roman" w:cs="Times New Roman"/>
          <w:sz w:val="24"/>
          <w:szCs w:val="24"/>
        </w:rPr>
        <w:t>(1), 237–239. https://doi.org/10.1002/9781119044475.after</w:t>
      </w:r>
    </w:p>
    <w:p w:rsidR="00664BC9" w:rsidRPr="00664BC9" w:rsidRDefault="00664BC9" w:rsidP="00664BC9">
      <w:pPr>
        <w:spacing w:after="0" w:line="550" w:lineRule="atLeast"/>
        <w:ind w:left="720" w:right="375" w:hanging="720"/>
        <w:rPr>
          <w:rFonts w:ascii="Times New Roman" w:eastAsia="Times New Roman" w:hAnsi="Times New Roman" w:cs="Times New Roman"/>
          <w:sz w:val="24"/>
          <w:szCs w:val="24"/>
        </w:rPr>
      </w:pPr>
      <w:proofErr w:type="spellStart"/>
      <w:proofErr w:type="gramStart"/>
      <w:r w:rsidRPr="00664BC9">
        <w:rPr>
          <w:rFonts w:ascii="Times New Roman" w:eastAsia="Times New Roman" w:hAnsi="Times New Roman" w:cs="Times New Roman"/>
          <w:sz w:val="24"/>
          <w:szCs w:val="24"/>
        </w:rPr>
        <w:t>Guzys</w:t>
      </w:r>
      <w:proofErr w:type="spellEnd"/>
      <w:r w:rsidRPr="00664BC9">
        <w:rPr>
          <w:rFonts w:ascii="Times New Roman" w:eastAsia="Times New Roman" w:hAnsi="Times New Roman" w:cs="Times New Roman"/>
          <w:sz w:val="24"/>
          <w:szCs w:val="24"/>
        </w:rPr>
        <w:t xml:space="preserve">, D., Brown, R., </w:t>
      </w:r>
      <w:proofErr w:type="spellStart"/>
      <w:r w:rsidRPr="00664BC9">
        <w:rPr>
          <w:rFonts w:ascii="Times New Roman" w:eastAsia="Times New Roman" w:hAnsi="Times New Roman" w:cs="Times New Roman"/>
          <w:sz w:val="24"/>
          <w:szCs w:val="24"/>
        </w:rPr>
        <w:t>Halcomb</w:t>
      </w:r>
      <w:proofErr w:type="spellEnd"/>
      <w:r w:rsidRPr="00664BC9">
        <w:rPr>
          <w:rFonts w:ascii="Times New Roman" w:eastAsia="Times New Roman" w:hAnsi="Times New Roman" w:cs="Times New Roman"/>
          <w:sz w:val="24"/>
          <w:szCs w:val="24"/>
        </w:rPr>
        <w:t>, E., &amp; Whitehead, D. (2017).</w:t>
      </w:r>
      <w:proofErr w:type="gramEnd"/>
      <w:r w:rsidRPr="00664BC9">
        <w:rPr>
          <w:rFonts w:ascii="Times New Roman" w:eastAsia="Times New Roman" w:hAnsi="Times New Roman" w:cs="Times New Roman"/>
          <w:sz w:val="24"/>
          <w:szCs w:val="24"/>
        </w:rPr>
        <w:t xml:space="preserve"> </w:t>
      </w:r>
      <w:proofErr w:type="gramStart"/>
      <w:r w:rsidRPr="00664BC9">
        <w:rPr>
          <w:rFonts w:ascii="Times New Roman" w:eastAsia="Times New Roman" w:hAnsi="Times New Roman" w:cs="Times New Roman"/>
          <w:i/>
          <w:iCs/>
          <w:sz w:val="24"/>
          <w:szCs w:val="24"/>
        </w:rPr>
        <w:t>An introduction to community and primary health care</w:t>
      </w:r>
      <w:r w:rsidRPr="00664BC9">
        <w:rPr>
          <w:rFonts w:ascii="Times New Roman" w:eastAsia="Times New Roman" w:hAnsi="Times New Roman" w:cs="Times New Roman"/>
          <w:sz w:val="24"/>
          <w:szCs w:val="24"/>
        </w:rPr>
        <w:t>.</w:t>
      </w:r>
      <w:proofErr w:type="gramEnd"/>
      <w:r w:rsidRPr="00664BC9">
        <w:rPr>
          <w:rFonts w:ascii="Times New Roman" w:eastAsia="Times New Roman" w:hAnsi="Times New Roman" w:cs="Times New Roman"/>
          <w:sz w:val="24"/>
          <w:szCs w:val="24"/>
        </w:rPr>
        <w:t xml:space="preserve"> </w:t>
      </w:r>
      <w:proofErr w:type="gramStart"/>
      <w:r w:rsidRPr="00664BC9">
        <w:rPr>
          <w:rFonts w:ascii="Times New Roman" w:eastAsia="Times New Roman" w:hAnsi="Times New Roman" w:cs="Times New Roman"/>
          <w:sz w:val="24"/>
          <w:szCs w:val="24"/>
        </w:rPr>
        <w:t>Cambridge University Press.</w:t>
      </w:r>
      <w:proofErr w:type="gramEnd"/>
      <w:r w:rsidRPr="00664BC9">
        <w:rPr>
          <w:rFonts w:ascii="Times New Roman" w:eastAsia="Times New Roman" w:hAnsi="Times New Roman" w:cs="Times New Roman"/>
          <w:sz w:val="24"/>
          <w:szCs w:val="24"/>
        </w:rPr>
        <w:t xml:space="preserve"> </w:t>
      </w:r>
    </w:p>
    <w:p w:rsidR="00664BC9" w:rsidRPr="00664BC9" w:rsidRDefault="00664BC9" w:rsidP="00664BC9">
      <w:pPr>
        <w:spacing w:line="480" w:lineRule="auto"/>
        <w:rPr>
          <w:rFonts w:ascii="Times New Roman" w:hAnsi="Times New Roman" w:cs="Times New Roman"/>
          <w:sz w:val="24"/>
          <w:szCs w:val="24"/>
        </w:rPr>
      </w:pPr>
    </w:p>
    <w:sectPr w:rsidR="00664BC9" w:rsidRPr="00664BC9" w:rsidSect="00664B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31F" w:rsidRDefault="0017531F" w:rsidP="00664BC9">
      <w:pPr>
        <w:spacing w:after="0" w:line="240" w:lineRule="auto"/>
      </w:pPr>
      <w:r>
        <w:separator/>
      </w:r>
    </w:p>
  </w:endnote>
  <w:endnote w:type="continuationSeparator" w:id="0">
    <w:p w:rsidR="0017531F" w:rsidRDefault="0017531F" w:rsidP="0066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31F" w:rsidRDefault="0017531F" w:rsidP="00664BC9">
      <w:pPr>
        <w:spacing w:after="0" w:line="240" w:lineRule="auto"/>
      </w:pPr>
      <w:r>
        <w:separator/>
      </w:r>
    </w:p>
  </w:footnote>
  <w:footnote w:type="continuationSeparator" w:id="0">
    <w:p w:rsidR="0017531F" w:rsidRDefault="0017531F" w:rsidP="00664B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3847"/>
      <w:docPartObj>
        <w:docPartGallery w:val="Page Numbers (Top of Page)"/>
        <w:docPartUnique/>
      </w:docPartObj>
    </w:sdtPr>
    <w:sdtEndPr/>
    <w:sdtContent>
      <w:p w:rsidR="00664BC9" w:rsidRPr="00664BC9" w:rsidRDefault="00664BC9">
        <w:pPr>
          <w:pStyle w:val="Header"/>
          <w:jc w:val="right"/>
          <w:rPr>
            <w:rFonts w:ascii="Times New Roman" w:hAnsi="Times New Roman" w:cs="Times New Roman"/>
            <w:sz w:val="24"/>
            <w:szCs w:val="24"/>
          </w:rPr>
        </w:pPr>
        <w:r w:rsidRPr="00664BC9">
          <w:rPr>
            <w:rFonts w:ascii="Times New Roman" w:hAnsi="Times New Roman" w:cs="Times New Roman"/>
            <w:sz w:val="24"/>
            <w:szCs w:val="24"/>
          </w:rPr>
          <w:t xml:space="preserve">NURSING </w:t>
        </w:r>
        <w:r w:rsidRPr="00664BC9">
          <w:rPr>
            <w:rFonts w:ascii="Times New Roman" w:hAnsi="Times New Roman" w:cs="Times New Roman"/>
            <w:sz w:val="24"/>
            <w:szCs w:val="24"/>
          </w:rPr>
          <w:tab/>
        </w:r>
        <w:r w:rsidRPr="00664BC9">
          <w:rPr>
            <w:rFonts w:ascii="Times New Roman" w:hAnsi="Times New Roman" w:cs="Times New Roman"/>
            <w:sz w:val="24"/>
            <w:szCs w:val="24"/>
          </w:rPr>
          <w:tab/>
        </w:r>
        <w:r w:rsidRPr="00664BC9">
          <w:rPr>
            <w:rFonts w:ascii="Times New Roman" w:hAnsi="Times New Roman" w:cs="Times New Roman"/>
            <w:sz w:val="24"/>
            <w:szCs w:val="24"/>
          </w:rPr>
          <w:fldChar w:fldCharType="begin"/>
        </w:r>
        <w:r w:rsidRPr="00664BC9">
          <w:rPr>
            <w:rFonts w:ascii="Times New Roman" w:hAnsi="Times New Roman" w:cs="Times New Roman"/>
            <w:sz w:val="24"/>
            <w:szCs w:val="24"/>
          </w:rPr>
          <w:instrText xml:space="preserve"> PAGE   \* MERGEFORMAT </w:instrText>
        </w:r>
        <w:r w:rsidRPr="00664BC9">
          <w:rPr>
            <w:rFonts w:ascii="Times New Roman" w:hAnsi="Times New Roman" w:cs="Times New Roman"/>
            <w:sz w:val="24"/>
            <w:szCs w:val="24"/>
          </w:rPr>
          <w:fldChar w:fldCharType="separate"/>
        </w:r>
        <w:r w:rsidR="00F66DC3">
          <w:rPr>
            <w:rFonts w:ascii="Times New Roman" w:hAnsi="Times New Roman" w:cs="Times New Roman"/>
            <w:noProof/>
            <w:sz w:val="24"/>
            <w:szCs w:val="24"/>
          </w:rPr>
          <w:t>2</w:t>
        </w:r>
        <w:r w:rsidRPr="00664BC9">
          <w:rPr>
            <w:rFonts w:ascii="Times New Roman" w:hAnsi="Times New Roman" w:cs="Times New Roman"/>
            <w:sz w:val="24"/>
            <w:szCs w:val="24"/>
          </w:rPr>
          <w:fldChar w:fldCharType="end"/>
        </w:r>
      </w:p>
    </w:sdtContent>
  </w:sdt>
  <w:p w:rsidR="00664BC9" w:rsidRPr="00664BC9" w:rsidRDefault="00664B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BC9" w:rsidRPr="00664BC9" w:rsidRDefault="00664BC9">
    <w:pPr>
      <w:pStyle w:val="Header"/>
      <w:rPr>
        <w:rFonts w:ascii="Times New Roman" w:hAnsi="Times New Roman" w:cs="Times New Roman"/>
        <w:sz w:val="24"/>
        <w:szCs w:val="24"/>
      </w:rPr>
    </w:pPr>
    <w:r w:rsidRPr="00664BC9">
      <w:rPr>
        <w:rFonts w:ascii="Times New Roman" w:hAnsi="Times New Roman" w:cs="Times New Roman"/>
        <w:sz w:val="24"/>
        <w:szCs w:val="24"/>
      </w:rPr>
      <w:t xml:space="preserve">Running head: NURSING </w:t>
    </w:r>
    <w:r w:rsidRPr="00664BC9">
      <w:rPr>
        <w:rFonts w:ascii="Times New Roman" w:hAnsi="Times New Roman" w:cs="Times New Roman"/>
        <w:sz w:val="24"/>
        <w:szCs w:val="24"/>
      </w:rPr>
      <w:tab/>
    </w:r>
    <w:r w:rsidRPr="00664BC9">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70197"/>
    <w:multiLevelType w:val="multilevel"/>
    <w:tmpl w:val="6DE68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203"/>
    <w:rsid w:val="0000664C"/>
    <w:rsid w:val="00066064"/>
    <w:rsid w:val="000A199D"/>
    <w:rsid w:val="0010291F"/>
    <w:rsid w:val="00160203"/>
    <w:rsid w:val="0017531F"/>
    <w:rsid w:val="00195F71"/>
    <w:rsid w:val="001B6AE7"/>
    <w:rsid w:val="001D5299"/>
    <w:rsid w:val="002C45D1"/>
    <w:rsid w:val="003D5E04"/>
    <w:rsid w:val="004A5D45"/>
    <w:rsid w:val="004E33B9"/>
    <w:rsid w:val="00543DD6"/>
    <w:rsid w:val="005675DC"/>
    <w:rsid w:val="00583CBC"/>
    <w:rsid w:val="00664BC9"/>
    <w:rsid w:val="006E11DC"/>
    <w:rsid w:val="00704AB3"/>
    <w:rsid w:val="007213F6"/>
    <w:rsid w:val="0083005A"/>
    <w:rsid w:val="00843AD2"/>
    <w:rsid w:val="00873565"/>
    <w:rsid w:val="00AD341A"/>
    <w:rsid w:val="00B22851"/>
    <w:rsid w:val="00C0249F"/>
    <w:rsid w:val="00C9424F"/>
    <w:rsid w:val="00CD35D8"/>
    <w:rsid w:val="00D12092"/>
    <w:rsid w:val="00D31C58"/>
    <w:rsid w:val="00F66D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203"/>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4B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4BC9"/>
    <w:rPr>
      <w:i/>
      <w:iCs/>
    </w:rPr>
  </w:style>
  <w:style w:type="character" w:styleId="Hyperlink">
    <w:name w:val="Hyperlink"/>
    <w:basedOn w:val="DefaultParagraphFont"/>
    <w:uiPriority w:val="99"/>
    <w:semiHidden/>
    <w:unhideWhenUsed/>
    <w:rsid w:val="00664BC9"/>
    <w:rPr>
      <w:color w:val="0000FF"/>
      <w:u w:val="single"/>
    </w:rPr>
  </w:style>
  <w:style w:type="paragraph" w:styleId="Header">
    <w:name w:val="header"/>
    <w:basedOn w:val="Normal"/>
    <w:link w:val="HeaderChar"/>
    <w:uiPriority w:val="99"/>
    <w:unhideWhenUsed/>
    <w:rsid w:val="00664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BC9"/>
  </w:style>
  <w:style w:type="paragraph" w:styleId="Footer">
    <w:name w:val="footer"/>
    <w:basedOn w:val="Normal"/>
    <w:link w:val="FooterChar"/>
    <w:uiPriority w:val="99"/>
    <w:semiHidden/>
    <w:unhideWhenUsed/>
    <w:rsid w:val="00664B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4B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203"/>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4B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4BC9"/>
    <w:rPr>
      <w:i/>
      <w:iCs/>
    </w:rPr>
  </w:style>
  <w:style w:type="character" w:styleId="Hyperlink">
    <w:name w:val="Hyperlink"/>
    <w:basedOn w:val="DefaultParagraphFont"/>
    <w:uiPriority w:val="99"/>
    <w:semiHidden/>
    <w:unhideWhenUsed/>
    <w:rsid w:val="00664BC9"/>
    <w:rPr>
      <w:color w:val="0000FF"/>
      <w:u w:val="single"/>
    </w:rPr>
  </w:style>
  <w:style w:type="paragraph" w:styleId="Header">
    <w:name w:val="header"/>
    <w:basedOn w:val="Normal"/>
    <w:link w:val="HeaderChar"/>
    <w:uiPriority w:val="99"/>
    <w:unhideWhenUsed/>
    <w:rsid w:val="00664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BC9"/>
  </w:style>
  <w:style w:type="paragraph" w:styleId="Footer">
    <w:name w:val="footer"/>
    <w:basedOn w:val="Normal"/>
    <w:link w:val="FooterChar"/>
    <w:uiPriority w:val="99"/>
    <w:semiHidden/>
    <w:unhideWhenUsed/>
    <w:rsid w:val="00664B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4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535510">
      <w:bodyDiv w:val="1"/>
      <w:marLeft w:val="0"/>
      <w:marRight w:val="0"/>
      <w:marTop w:val="0"/>
      <w:marBottom w:val="0"/>
      <w:divBdr>
        <w:top w:val="none" w:sz="0" w:space="0" w:color="auto"/>
        <w:left w:val="none" w:sz="0" w:space="0" w:color="auto"/>
        <w:bottom w:val="none" w:sz="0" w:space="0" w:color="auto"/>
        <w:right w:val="none" w:sz="0" w:space="0" w:color="auto"/>
      </w:divBdr>
      <w:divsChild>
        <w:div w:id="169175840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528522443">
      <w:bodyDiv w:val="1"/>
      <w:marLeft w:val="0"/>
      <w:marRight w:val="0"/>
      <w:marTop w:val="0"/>
      <w:marBottom w:val="0"/>
      <w:divBdr>
        <w:top w:val="none" w:sz="0" w:space="0" w:color="auto"/>
        <w:left w:val="none" w:sz="0" w:space="0" w:color="auto"/>
        <w:bottom w:val="none" w:sz="0" w:space="0" w:color="auto"/>
        <w:right w:val="none" w:sz="0" w:space="0" w:color="auto"/>
      </w:divBdr>
    </w:div>
    <w:div w:id="188641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2020-09-27T19:34:00Z</dcterms:created>
  <dcterms:modified xsi:type="dcterms:W3CDTF">2020-09-27T19:34:00Z</dcterms:modified>
</cp:coreProperties>
</file>